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309" w:type="dxa"/>
        <w:tblInd w:w="-459" w:type="dxa"/>
        <w:tblLayout w:type="fixed"/>
        <w:tblLook w:val="04A0"/>
      </w:tblPr>
      <w:tblGrid>
        <w:gridCol w:w="1985"/>
        <w:gridCol w:w="11340"/>
        <w:gridCol w:w="1984"/>
      </w:tblGrid>
      <w:tr w:rsidR="00D9146D" w:rsidRPr="00717234" w:rsidTr="004401F7">
        <w:trPr>
          <w:trHeight w:val="983"/>
        </w:trPr>
        <w:tc>
          <w:tcPr>
            <w:tcW w:w="1985" w:type="dxa"/>
          </w:tcPr>
          <w:p w:rsidR="00D9146D" w:rsidRPr="00717234" w:rsidRDefault="00D9146D" w:rsidP="00D9146D">
            <w:pPr>
              <w:autoSpaceDE w:val="0"/>
              <w:autoSpaceDN w:val="0"/>
              <w:adjustRightInd w:val="0"/>
              <w:rPr>
                <w:rFonts w:ascii="Arial" w:hAnsi="Arial" w:cs="Arial"/>
                <w:b/>
                <w:sz w:val="18"/>
                <w:szCs w:val="18"/>
              </w:rPr>
            </w:pPr>
            <w:r w:rsidRPr="00717234">
              <w:rPr>
                <w:rFonts w:ascii="Arial" w:hAnsi="Arial" w:cs="Arial"/>
                <w:b/>
                <w:sz w:val="18"/>
                <w:szCs w:val="18"/>
              </w:rPr>
              <w:t>Type of Regulation</w:t>
            </w:r>
          </w:p>
        </w:tc>
        <w:tc>
          <w:tcPr>
            <w:tcW w:w="11340" w:type="dxa"/>
          </w:tcPr>
          <w:p w:rsidR="0065246B" w:rsidRPr="00717234" w:rsidRDefault="0065246B" w:rsidP="00717234">
            <w:pPr>
              <w:rPr>
                <w:rFonts w:ascii="Arial" w:hAnsi="Arial" w:cs="Arial"/>
                <w:b/>
                <w:sz w:val="18"/>
                <w:szCs w:val="18"/>
              </w:rPr>
            </w:pPr>
            <w:r w:rsidRPr="00717234">
              <w:rPr>
                <w:rFonts w:ascii="Arial" w:hAnsi="Arial" w:cs="Arial"/>
                <w:b/>
                <w:sz w:val="18"/>
                <w:szCs w:val="18"/>
              </w:rPr>
              <w:t xml:space="preserve">Details of the standard or law: </w:t>
            </w:r>
          </w:p>
          <w:p w:rsidR="00D9146D" w:rsidRPr="00717234" w:rsidRDefault="0065246B" w:rsidP="00717234">
            <w:pPr>
              <w:rPr>
                <w:rFonts w:ascii="Arial" w:hAnsi="Arial" w:cs="Arial"/>
                <w:b/>
                <w:sz w:val="18"/>
                <w:szCs w:val="18"/>
              </w:rPr>
            </w:pPr>
            <w:r w:rsidRPr="00717234">
              <w:rPr>
                <w:rFonts w:ascii="Arial" w:hAnsi="Arial" w:cs="Arial"/>
                <w:b/>
                <w:sz w:val="18"/>
                <w:szCs w:val="18"/>
              </w:rPr>
              <w:t xml:space="preserve">What is it about? </w:t>
            </w:r>
          </w:p>
        </w:tc>
        <w:tc>
          <w:tcPr>
            <w:tcW w:w="1984" w:type="dxa"/>
          </w:tcPr>
          <w:p w:rsidR="00D9146D" w:rsidRPr="00717234" w:rsidRDefault="0065246B" w:rsidP="00D9146D">
            <w:pPr>
              <w:rPr>
                <w:rFonts w:ascii="Arial" w:hAnsi="Arial" w:cs="Arial"/>
                <w:b/>
                <w:sz w:val="18"/>
                <w:szCs w:val="18"/>
              </w:rPr>
            </w:pPr>
            <w:r w:rsidRPr="00717234">
              <w:rPr>
                <w:rFonts w:ascii="Arial" w:hAnsi="Arial" w:cs="Arial"/>
                <w:b/>
                <w:sz w:val="18"/>
                <w:szCs w:val="18"/>
              </w:rPr>
              <w:t>Which area of Child Injury does it address?</w:t>
            </w:r>
          </w:p>
        </w:tc>
      </w:tr>
      <w:tr w:rsidR="00864762" w:rsidRPr="00717234" w:rsidTr="004401F7">
        <w:trPr>
          <w:trHeight w:val="615"/>
        </w:trPr>
        <w:tc>
          <w:tcPr>
            <w:tcW w:w="1985" w:type="dxa"/>
            <w:vMerge w:val="restart"/>
          </w:tcPr>
          <w:p w:rsidR="00864762" w:rsidRPr="00717234" w:rsidRDefault="006E47AD" w:rsidP="00D9146D">
            <w:pPr>
              <w:autoSpaceDE w:val="0"/>
              <w:autoSpaceDN w:val="0"/>
              <w:adjustRightInd w:val="0"/>
              <w:rPr>
                <w:rFonts w:ascii="Arial" w:hAnsi="Arial" w:cs="Arial"/>
                <w:b/>
                <w:sz w:val="18"/>
                <w:szCs w:val="18"/>
              </w:rPr>
            </w:pPr>
            <w:hyperlink r:id="rId7" w:history="1">
              <w:r w:rsidR="00D9146D" w:rsidRPr="006E47AD">
                <w:rPr>
                  <w:rStyle w:val="Hyperlink"/>
                  <w:rFonts w:ascii="Arial" w:hAnsi="Arial" w:cs="Arial"/>
                  <w:b/>
                  <w:sz w:val="18"/>
                  <w:szCs w:val="18"/>
                </w:rPr>
                <w:t xml:space="preserve">Australian </w:t>
              </w:r>
              <w:r w:rsidR="00864762" w:rsidRPr="006E47AD">
                <w:rPr>
                  <w:rStyle w:val="Hyperlink"/>
                  <w:rFonts w:ascii="Arial" w:hAnsi="Arial" w:cs="Arial"/>
                  <w:b/>
                  <w:sz w:val="18"/>
                  <w:szCs w:val="18"/>
                </w:rPr>
                <w:t>Mandatory standards</w:t>
              </w:r>
            </w:hyperlink>
          </w:p>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8" w:history="1">
              <w:r w:rsidRPr="00717234">
                <w:rPr>
                  <w:rStyle w:val="Hyperlink"/>
                  <w:rFonts w:ascii="Arial" w:hAnsi="Arial" w:cs="Arial"/>
                  <w:sz w:val="18"/>
                  <w:szCs w:val="18"/>
                </w:rPr>
                <w:t>Mandatory standard—Aquatic toys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aquatic toys came into effect on 1 April 2010 and is the only mandatory standard for aquatic toys. It covers labelling for aquatic toys.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626"/>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9" w:history="1">
              <w:r w:rsidRPr="00717234">
                <w:rPr>
                  <w:rStyle w:val="Hyperlink"/>
                  <w:rFonts w:ascii="Arial" w:hAnsi="Arial" w:cs="Arial"/>
                  <w:sz w:val="18"/>
                  <w:szCs w:val="18"/>
                </w:rPr>
                <w:t>Mandatory standard—Babies' dummies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baby dummies came into effect on 20 October 2006. It covers requirements for design, construction and safety labelling.</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760"/>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0" w:history="1">
              <w:r w:rsidRPr="00717234">
                <w:rPr>
                  <w:rStyle w:val="Hyperlink"/>
                  <w:rFonts w:ascii="Arial" w:hAnsi="Arial" w:cs="Arial"/>
                  <w:sz w:val="18"/>
                  <w:szCs w:val="18"/>
                </w:rPr>
                <w:t>Mandatory standard—Baby walkers</w:t>
              </w:r>
            </w:hyperlink>
          </w:p>
          <w:p w:rsidR="00864762" w:rsidRPr="00717234" w:rsidRDefault="00864762" w:rsidP="00717234">
            <w:pPr>
              <w:rPr>
                <w:rFonts w:ascii="Arial" w:hAnsi="Arial" w:cs="Arial"/>
                <w:sz w:val="18"/>
                <w:szCs w:val="18"/>
              </w:rPr>
            </w:pPr>
            <w:r w:rsidRPr="00717234">
              <w:rPr>
                <w:rStyle w:val="contentossregulation"/>
                <w:rFonts w:ascii="Arial" w:hAnsi="Arial" w:cs="Arial"/>
                <w:sz w:val="18"/>
                <w:szCs w:val="18"/>
              </w:rPr>
              <w:t>This mandatory standard came into effect on 1 November 2002. It covers design, construction, performance and label</w:t>
            </w:r>
            <w:r w:rsidR="00717234" w:rsidRPr="00717234">
              <w:rPr>
                <w:rStyle w:val="contentossregulation"/>
                <w:rFonts w:ascii="Arial" w:hAnsi="Arial" w:cs="Arial"/>
                <w:sz w:val="18"/>
                <w:szCs w:val="18"/>
              </w:rPr>
              <w:t>ling requirements for baby walke</w:t>
            </w:r>
            <w:r w:rsidRPr="00717234">
              <w:rPr>
                <w:rStyle w:val="contentossregulation"/>
                <w:rFonts w:ascii="Arial" w:hAnsi="Arial" w:cs="Arial"/>
                <w:sz w:val="18"/>
                <w:szCs w:val="18"/>
              </w:rPr>
              <w:t>rs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558"/>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1" w:history="1">
              <w:r w:rsidRPr="00717234">
                <w:rPr>
                  <w:rStyle w:val="Hyperlink"/>
                  <w:rFonts w:ascii="Arial" w:hAnsi="Arial" w:cs="Arial"/>
                  <w:sz w:val="18"/>
                  <w:szCs w:val="18"/>
                </w:rPr>
                <w:t>Mandatory standard—Balloon blowing kits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balloon blowing kits came into effect on 1 December 2004. It specifies that balloon blowing kits cannot contain the chemical benzene in the synthetic substance.</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639"/>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2" w:history="1">
              <w:r w:rsidRPr="00717234">
                <w:rPr>
                  <w:rStyle w:val="Hyperlink"/>
                  <w:rFonts w:ascii="Arial" w:hAnsi="Arial" w:cs="Arial"/>
                  <w:sz w:val="18"/>
                  <w:szCs w:val="18"/>
                </w:rPr>
                <w:t>Mandatory standard—Basketball rings and backboards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basketball rings and backboards came into effect on 11 October 2005. It covers specific safety marking requirements for basketball rings and backboards.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705"/>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3" w:history="1">
              <w:r w:rsidRPr="00717234">
                <w:rPr>
                  <w:rStyle w:val="Hyperlink"/>
                  <w:rFonts w:ascii="Arial" w:hAnsi="Arial" w:cs="Arial"/>
                  <w:sz w:val="18"/>
                  <w:szCs w:val="18"/>
                </w:rPr>
                <w:t>Mandatory standard—Bean bags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bean bags came into effect on 28 October 1987 and was last amended 1 December 2004. It applies to bean bag covers and packages containing bean bag filling.</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40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4" w:history="1">
              <w:r w:rsidRPr="00717234">
                <w:rPr>
                  <w:rStyle w:val="Hyperlink"/>
                  <w:rFonts w:ascii="Arial" w:hAnsi="Arial" w:cs="Arial"/>
                  <w:sz w:val="18"/>
                  <w:szCs w:val="18"/>
                </w:rPr>
                <w:t>Mandatory standard—Bicycle helmets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bicycle helmets covers design, construction and safety marking requirements for bicycle helmets.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834"/>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5" w:history="1">
              <w:r w:rsidRPr="00717234">
                <w:rPr>
                  <w:rStyle w:val="Hyperlink"/>
                  <w:rFonts w:ascii="Arial" w:hAnsi="Arial" w:cs="Arial"/>
                  <w:sz w:val="18"/>
                  <w:szCs w:val="18"/>
                </w:rPr>
                <w:t>Mandatory standard—Blinds, curtains and window fittings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internal blinds, curtains and window fittings (corded internal window coverings) was declared on 8 July 2010 and applies to relevant blinds, curtains and some fittings supplied after 30 December 2010. This page includes information on hazards and how to comply with the national mandatory standard.</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690"/>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6" w:history="1">
              <w:r w:rsidRPr="00717234">
                <w:rPr>
                  <w:rStyle w:val="Hyperlink"/>
                  <w:rFonts w:ascii="Arial" w:hAnsi="Arial" w:cs="Arial"/>
                  <w:sz w:val="18"/>
                  <w:szCs w:val="18"/>
                </w:rPr>
                <w:t>Mandatory standard—Bunk beds</w:t>
              </w:r>
            </w:hyperlink>
          </w:p>
          <w:p w:rsidR="00864762" w:rsidRPr="00717234" w:rsidRDefault="00864762" w:rsidP="00717234">
            <w:pPr>
              <w:rPr>
                <w:rFonts w:ascii="Arial" w:hAnsi="Arial" w:cs="Arial"/>
                <w:sz w:val="18"/>
                <w:szCs w:val="18"/>
              </w:rPr>
            </w:pPr>
            <w:r w:rsidRPr="00717234">
              <w:rPr>
                <w:rStyle w:val="contentossregulation"/>
                <w:rFonts w:ascii="Arial" w:hAnsi="Arial" w:cs="Arial"/>
                <w:sz w:val="18"/>
                <w:szCs w:val="18"/>
              </w:rPr>
              <w:t>The mandatory standard for bunk beds came into effect on 7 April 2005. It covers specific construction, design and labelling requirements for bunk beds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842"/>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7" w:history="1">
              <w:r w:rsidRPr="00717234">
                <w:rPr>
                  <w:rStyle w:val="Hyperlink"/>
                  <w:rFonts w:ascii="Arial" w:hAnsi="Arial" w:cs="Arial"/>
                  <w:sz w:val="18"/>
                  <w:szCs w:val="18"/>
                </w:rPr>
                <w:t>Mandatory standard—Child restraints for motor vehicles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child restraints for motor vehicles came into effect on 7 November 1978 and was last amended 6 September 2007. It covers various requirements for the design, construction, performance, user instructions, marking and packaging of child car restraints.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698"/>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8" w:history="1">
              <w:r w:rsidRPr="00717234">
                <w:rPr>
                  <w:rStyle w:val="Hyperlink"/>
                  <w:rFonts w:ascii="Arial" w:hAnsi="Arial" w:cs="Arial"/>
                  <w:sz w:val="18"/>
                  <w:szCs w:val="18"/>
                </w:rPr>
                <w:t>Mandatory standard—Children's portable folding cots</w:t>
              </w:r>
            </w:hyperlink>
          </w:p>
          <w:p w:rsidR="00864762" w:rsidRPr="00717234" w:rsidRDefault="00864762" w:rsidP="00717234">
            <w:pPr>
              <w:rPr>
                <w:rFonts w:ascii="Arial" w:hAnsi="Arial" w:cs="Arial"/>
                <w:sz w:val="18"/>
                <w:szCs w:val="18"/>
              </w:rPr>
            </w:pPr>
            <w:r w:rsidRPr="00717234">
              <w:rPr>
                <w:rStyle w:val="contentossregulation"/>
                <w:rFonts w:ascii="Arial" w:hAnsi="Arial" w:cs="Arial"/>
                <w:sz w:val="18"/>
                <w:szCs w:val="18"/>
              </w:rPr>
              <w:t>The mandatory standard for children's portable folding cots came in to effect on 1 March 2009. It covers testing, design and construction, safety and performance and safety markings for folding cots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841"/>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19" w:history="1">
              <w:r w:rsidRPr="00717234">
                <w:rPr>
                  <w:rStyle w:val="Hyperlink"/>
                  <w:rFonts w:ascii="Arial" w:hAnsi="Arial" w:cs="Arial"/>
                  <w:sz w:val="18"/>
                  <w:szCs w:val="18"/>
                </w:rPr>
                <w:t>Mandatory standard—Children's toys containing magnets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children's toys containing magnets was declared on 16 February 2010 and came into effect on 1 July 2010. It covers warning labels required for packaging, and instructions to prevent serious illness that can result if children swallow hazardous magnets.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697"/>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0" w:history="1">
              <w:r w:rsidRPr="00717234">
                <w:rPr>
                  <w:rStyle w:val="Hyperlink"/>
                  <w:rFonts w:ascii="Arial" w:hAnsi="Arial" w:cs="Arial"/>
                  <w:sz w:val="18"/>
                  <w:szCs w:val="18"/>
                </w:rPr>
                <w:t>Mandatory standard—Household cots</w:t>
              </w:r>
            </w:hyperlink>
          </w:p>
          <w:p w:rsidR="00864762" w:rsidRPr="00717234" w:rsidRDefault="00864762" w:rsidP="00717234">
            <w:pPr>
              <w:pStyle w:val="NormalWeb"/>
              <w:spacing w:before="0" w:beforeAutospacing="0" w:after="0" w:afterAutospacing="0"/>
              <w:rPr>
                <w:rFonts w:ascii="Arial" w:hAnsi="Arial" w:cs="Arial"/>
                <w:sz w:val="18"/>
                <w:szCs w:val="18"/>
              </w:rPr>
            </w:pPr>
            <w:r w:rsidRPr="00717234">
              <w:rPr>
                <w:rStyle w:val="contentossregulation"/>
                <w:rFonts w:ascii="Arial" w:hAnsi="Arial" w:cs="Arial"/>
                <w:sz w:val="18"/>
                <w:szCs w:val="18"/>
              </w:rPr>
              <w:t>The mandatory standard for household cots came into effect on 3 December 2005. It covers various requirements for new, second-hand, antique and collectable cots.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1" w:history="1">
              <w:r w:rsidRPr="00717234">
                <w:rPr>
                  <w:rStyle w:val="Hyperlink"/>
                  <w:rFonts w:ascii="Arial" w:hAnsi="Arial" w:cs="Arial"/>
                  <w:sz w:val="18"/>
                  <w:szCs w:val="18"/>
                </w:rPr>
                <w:t>Mandatory standard—Nightwear for children</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This mandatory standard came into effect on 1 March 2007. It covers safety and labelling requirements for children's nightwear and paper patterns for making children's nightwear.</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2" w:history="1">
              <w:r w:rsidRPr="00717234">
                <w:rPr>
                  <w:rStyle w:val="Hyperlink"/>
                  <w:rFonts w:ascii="Arial" w:hAnsi="Arial" w:cs="Arial"/>
                  <w:sz w:val="18"/>
                  <w:szCs w:val="18"/>
                </w:rPr>
                <w:t>Mandatory standard—Toys for children up to and including 36 months of age</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The mandatory standard for toys for children up to and including 36 months of age came into effect on 17 December 2003. It covers specific testing methods, as well as design and construction requirements.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3" w:history="1">
              <w:r w:rsidRPr="00717234">
                <w:rPr>
                  <w:rStyle w:val="Hyperlink"/>
                  <w:rFonts w:ascii="Arial" w:hAnsi="Arial" w:cs="Arial"/>
                  <w:sz w:val="18"/>
                  <w:szCs w:val="18"/>
                </w:rPr>
                <w:t>Mandatory standard—Swimming and flotation aids for water familiarisation and swimming tuition</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The mandatory standard for swimming and flotation aids came into effect on 1 April 2010 and is the only mandatory standard for swimming and flotation aids. It covers labelling for swimming and flotation aids.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4" w:history="1">
              <w:r w:rsidRPr="00717234">
                <w:rPr>
                  <w:rStyle w:val="Hyperlink"/>
                  <w:rFonts w:ascii="Arial" w:hAnsi="Arial" w:cs="Arial"/>
                  <w:sz w:val="18"/>
                  <w:szCs w:val="18"/>
                </w:rPr>
                <w:t>Mandatory standard—Projectile toys</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The mandatory standard for projectile toys was declared on 7 July 2010 and comes into effect on 31 December 2010. This page includes information on hazards and how to comply with this mandatory standard.</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5" w:history="1">
              <w:r w:rsidRPr="00717234">
                <w:rPr>
                  <w:rStyle w:val="Hyperlink"/>
                  <w:rFonts w:ascii="Arial" w:hAnsi="Arial" w:cs="Arial"/>
                  <w:sz w:val="18"/>
                  <w:szCs w:val="18"/>
                </w:rPr>
                <w:t>Mandatory standard—Prams and strollers</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The mandatory standard for prams and strollers came into effect on 1 July 2008. It covers performance testing, design, construction, safety warnings and informative labels for prams and strollers.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6" w:history="1">
              <w:r w:rsidRPr="00717234">
                <w:rPr>
                  <w:rStyle w:val="Hyperlink"/>
                  <w:rFonts w:ascii="Arial" w:hAnsi="Arial" w:cs="Arial"/>
                  <w:sz w:val="18"/>
                  <w:szCs w:val="18"/>
                </w:rPr>
                <w:t>Mandatory standard—Pedal bicycles</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This mandatory standard came into effect on 30 October 1980 and was last amended on 2 November 2004. It covers design and labelling requirements for child and adult pedal bicycles.</w:t>
            </w:r>
          </w:p>
        </w:tc>
        <w:tc>
          <w:tcPr>
            <w:tcW w:w="1984" w:type="dxa"/>
          </w:tcPr>
          <w:p w:rsidR="00864762" w:rsidRPr="00717234" w:rsidRDefault="00864762" w:rsidP="00D9146D">
            <w:pPr>
              <w:rPr>
                <w:rFonts w:ascii="Arial" w:hAnsi="Arial" w:cs="Arial"/>
                <w:sz w:val="18"/>
                <w:szCs w:val="18"/>
              </w:rPr>
            </w:pPr>
          </w:p>
        </w:tc>
      </w:tr>
      <w:tr w:rsidR="00864762" w:rsidRPr="00717234" w:rsidTr="004401F7">
        <w:trPr>
          <w:trHeight w:val="973"/>
        </w:trPr>
        <w:tc>
          <w:tcPr>
            <w:tcW w:w="1985" w:type="dxa"/>
            <w:vMerge/>
          </w:tcPr>
          <w:p w:rsidR="00864762" w:rsidRPr="00717234" w:rsidRDefault="00864762" w:rsidP="00D9146D">
            <w:pPr>
              <w:autoSpaceDE w:val="0"/>
              <w:autoSpaceDN w:val="0"/>
              <w:adjustRightInd w:val="0"/>
              <w:rPr>
                <w:rFonts w:ascii="Arial" w:hAnsi="Arial" w:cs="Arial"/>
                <w:b/>
                <w:sz w:val="18"/>
                <w:szCs w:val="18"/>
              </w:rPr>
            </w:pPr>
          </w:p>
        </w:tc>
        <w:tc>
          <w:tcPr>
            <w:tcW w:w="11340" w:type="dxa"/>
          </w:tcPr>
          <w:p w:rsidR="00864762" w:rsidRPr="00717234" w:rsidRDefault="00864762" w:rsidP="00717234">
            <w:pPr>
              <w:rPr>
                <w:rFonts w:ascii="Arial" w:hAnsi="Arial" w:cs="Arial"/>
                <w:sz w:val="18"/>
                <w:szCs w:val="18"/>
              </w:rPr>
            </w:pPr>
            <w:hyperlink r:id="rId27" w:history="1">
              <w:r w:rsidRPr="00717234">
                <w:rPr>
                  <w:rStyle w:val="Hyperlink"/>
                  <w:rFonts w:ascii="Arial" w:hAnsi="Arial" w:cs="Arial"/>
                  <w:sz w:val="18"/>
                  <w:szCs w:val="18"/>
                </w:rPr>
                <w:t>Mandatory standard—Lead and other elements in toys and finger paints</w:t>
              </w:r>
            </w:hyperlink>
          </w:p>
          <w:p w:rsidR="00864762" w:rsidRPr="00717234" w:rsidRDefault="00864762" w:rsidP="00717234">
            <w:pPr>
              <w:shd w:val="clear" w:color="auto" w:fill="FFFFFF"/>
              <w:spacing w:line="336" w:lineRule="atLeast"/>
              <w:rPr>
                <w:rFonts w:ascii="Arial" w:hAnsi="Arial" w:cs="Arial"/>
                <w:sz w:val="18"/>
                <w:szCs w:val="18"/>
              </w:rPr>
            </w:pPr>
            <w:r w:rsidRPr="00717234">
              <w:rPr>
                <w:rStyle w:val="contentossregulation"/>
                <w:rFonts w:ascii="Arial" w:hAnsi="Arial" w:cs="Arial"/>
                <w:sz w:val="18"/>
                <w:szCs w:val="18"/>
              </w:rPr>
              <w:t>The mandatory standard for toys and finger paints containing lead and other elements came into effect on 1 January 2010.</w:t>
            </w:r>
          </w:p>
        </w:tc>
        <w:tc>
          <w:tcPr>
            <w:tcW w:w="1984" w:type="dxa"/>
          </w:tcPr>
          <w:p w:rsidR="00864762" w:rsidRPr="00717234" w:rsidRDefault="00864762" w:rsidP="00D9146D">
            <w:pPr>
              <w:rPr>
                <w:rFonts w:ascii="Arial" w:hAnsi="Arial" w:cs="Arial"/>
                <w:sz w:val="18"/>
                <w:szCs w:val="18"/>
              </w:rPr>
            </w:pPr>
          </w:p>
        </w:tc>
      </w:tr>
      <w:tr w:rsidR="00864762" w:rsidRPr="00717234" w:rsidTr="004401F7">
        <w:tc>
          <w:tcPr>
            <w:tcW w:w="1985" w:type="dxa"/>
          </w:tcPr>
          <w:p w:rsidR="00864762" w:rsidRPr="00717234" w:rsidRDefault="00176705" w:rsidP="00D9146D">
            <w:pPr>
              <w:autoSpaceDE w:val="0"/>
              <w:autoSpaceDN w:val="0"/>
              <w:adjustRightInd w:val="0"/>
              <w:rPr>
                <w:rFonts w:ascii="Arial" w:hAnsi="Arial" w:cs="Arial"/>
                <w:b/>
                <w:sz w:val="18"/>
                <w:szCs w:val="18"/>
              </w:rPr>
            </w:pPr>
            <w:hyperlink r:id="rId28" w:history="1">
              <w:r w:rsidR="00864762" w:rsidRPr="00176705">
                <w:rPr>
                  <w:rStyle w:val="Hyperlink"/>
                  <w:rFonts w:ascii="Arial" w:hAnsi="Arial" w:cs="Arial"/>
                  <w:b/>
                  <w:sz w:val="18"/>
                  <w:szCs w:val="18"/>
                </w:rPr>
                <w:t>Child Restraint laws</w:t>
              </w:r>
            </w:hyperlink>
          </w:p>
        </w:tc>
        <w:tc>
          <w:tcPr>
            <w:tcW w:w="11340" w:type="dxa"/>
          </w:tcPr>
          <w:p w:rsidR="00864762" w:rsidRPr="00717234" w:rsidRDefault="00864762" w:rsidP="00717234">
            <w:pPr>
              <w:pStyle w:val="Heading1"/>
              <w:spacing w:before="0"/>
              <w:outlineLvl w:val="0"/>
              <w:rPr>
                <w:rFonts w:ascii="Arial" w:hAnsi="Arial" w:cs="Arial"/>
                <w:color w:val="333333"/>
                <w:sz w:val="18"/>
                <w:szCs w:val="18"/>
              </w:rPr>
            </w:pPr>
            <w:r w:rsidRPr="00717234">
              <w:rPr>
                <w:rFonts w:ascii="Arial" w:hAnsi="Arial" w:cs="Arial"/>
                <w:color w:val="333333"/>
                <w:sz w:val="18"/>
                <w:szCs w:val="18"/>
              </w:rPr>
              <w:t xml:space="preserve">New child restraint laws </w:t>
            </w:r>
          </w:p>
          <w:p w:rsidR="00864762" w:rsidRPr="00717234" w:rsidRDefault="00864762" w:rsidP="00717234">
            <w:pPr>
              <w:pStyle w:val="NormalWeb"/>
              <w:spacing w:before="0" w:beforeAutospacing="0" w:after="0" w:afterAutospacing="0"/>
              <w:rPr>
                <w:rFonts w:ascii="Arial" w:hAnsi="Arial" w:cs="Arial"/>
                <w:color w:val="333333"/>
                <w:sz w:val="18"/>
                <w:szCs w:val="18"/>
              </w:rPr>
            </w:pPr>
            <w:r w:rsidRPr="00717234">
              <w:rPr>
                <w:rFonts w:ascii="Arial" w:hAnsi="Arial" w:cs="Arial"/>
                <w:color w:val="333333"/>
                <w:sz w:val="18"/>
                <w:szCs w:val="18"/>
              </w:rPr>
              <w:t>New national child restraint laws were introduced in NSW on 1 March 2010. A transitional period was in place until 30 June 2010 to give parents and carers time to fully understand and comply with the new laws. However, all children up to seven years of age must now be safely fastened into the right restraint for their age and size.</w:t>
            </w:r>
          </w:p>
          <w:p w:rsidR="00864762" w:rsidRPr="00717234" w:rsidRDefault="00864762" w:rsidP="00717234">
            <w:pPr>
              <w:pStyle w:val="NormalWeb"/>
              <w:spacing w:before="0" w:beforeAutospacing="0" w:after="0" w:afterAutospacing="0"/>
              <w:rPr>
                <w:rFonts w:ascii="Arial" w:hAnsi="Arial" w:cs="Arial"/>
                <w:color w:val="333333"/>
                <w:sz w:val="18"/>
                <w:szCs w:val="18"/>
              </w:rPr>
            </w:pPr>
            <w:r w:rsidRPr="00717234">
              <w:rPr>
                <w:rFonts w:ascii="Arial" w:hAnsi="Arial" w:cs="Arial"/>
                <w:color w:val="333333"/>
                <w:sz w:val="18"/>
                <w:szCs w:val="18"/>
              </w:rPr>
              <w:t>A child that is properly secured in an approved child restraint is less likely to be injured or killed in a car crash than one who is not.</w:t>
            </w:r>
          </w:p>
          <w:p w:rsidR="00864762" w:rsidRPr="00717234" w:rsidRDefault="00864762" w:rsidP="00717234">
            <w:pPr>
              <w:outlineLvl w:val="2"/>
              <w:rPr>
                <w:rFonts w:ascii="Arial" w:hAnsi="Arial" w:cs="Arial"/>
                <w:b/>
                <w:bCs/>
                <w:color w:val="333333"/>
                <w:sz w:val="18"/>
                <w:szCs w:val="18"/>
              </w:rPr>
            </w:pPr>
            <w:r w:rsidRPr="00717234">
              <w:rPr>
                <w:rFonts w:ascii="Arial" w:hAnsi="Arial" w:cs="Arial"/>
                <w:b/>
                <w:bCs/>
                <w:color w:val="333333"/>
                <w:sz w:val="18"/>
                <w:szCs w:val="18"/>
              </w:rPr>
              <w:t>Summary of changes</w:t>
            </w:r>
          </w:p>
          <w:p w:rsidR="00864762" w:rsidRPr="00717234" w:rsidRDefault="00864762" w:rsidP="00717234">
            <w:pPr>
              <w:pStyle w:val="NormalWeb"/>
              <w:spacing w:before="0" w:beforeAutospacing="0" w:after="0" w:afterAutospacing="0"/>
              <w:rPr>
                <w:rFonts w:ascii="Arial" w:hAnsi="Arial" w:cs="Arial"/>
                <w:color w:val="333333"/>
                <w:sz w:val="18"/>
                <w:szCs w:val="18"/>
              </w:rPr>
            </w:pPr>
            <w:r w:rsidRPr="00717234">
              <w:rPr>
                <w:rFonts w:ascii="Arial" w:hAnsi="Arial" w:cs="Arial"/>
                <w:color w:val="333333"/>
                <w:sz w:val="18"/>
                <w:szCs w:val="18"/>
              </w:rPr>
              <w:t>The new national child restraint laws state:</w:t>
            </w:r>
          </w:p>
          <w:p w:rsidR="00864762" w:rsidRPr="00717234" w:rsidRDefault="00864762" w:rsidP="00717234">
            <w:pPr>
              <w:numPr>
                <w:ilvl w:val="0"/>
                <w:numId w:val="2"/>
              </w:numPr>
              <w:spacing w:line="163" w:lineRule="atLeast"/>
              <w:rPr>
                <w:rFonts w:ascii="Arial" w:hAnsi="Arial" w:cs="Arial"/>
                <w:color w:val="333333"/>
                <w:sz w:val="18"/>
                <w:szCs w:val="18"/>
              </w:rPr>
            </w:pPr>
            <w:r w:rsidRPr="00717234">
              <w:rPr>
                <w:rFonts w:ascii="Arial" w:hAnsi="Arial" w:cs="Arial"/>
                <w:color w:val="333333"/>
                <w:sz w:val="18"/>
                <w:szCs w:val="18"/>
              </w:rPr>
              <w:t>Children younger than six months must be secured in a rearward facing restraint.</w:t>
            </w:r>
          </w:p>
          <w:p w:rsidR="00864762" w:rsidRPr="00717234" w:rsidRDefault="00864762" w:rsidP="00717234">
            <w:pPr>
              <w:numPr>
                <w:ilvl w:val="0"/>
                <w:numId w:val="2"/>
              </w:numPr>
              <w:spacing w:line="163" w:lineRule="atLeast"/>
              <w:rPr>
                <w:rFonts w:ascii="Arial" w:hAnsi="Arial" w:cs="Arial"/>
                <w:color w:val="333333"/>
                <w:sz w:val="18"/>
                <w:szCs w:val="18"/>
              </w:rPr>
            </w:pPr>
            <w:r w:rsidRPr="00717234">
              <w:rPr>
                <w:rFonts w:ascii="Arial" w:hAnsi="Arial" w:cs="Arial"/>
                <w:color w:val="333333"/>
                <w:sz w:val="18"/>
                <w:szCs w:val="18"/>
              </w:rPr>
              <w:t xml:space="preserve">Children aged six months to </w:t>
            </w:r>
            <w:proofErr w:type="gramStart"/>
            <w:r w:rsidRPr="00717234">
              <w:rPr>
                <w:rFonts w:ascii="Arial" w:hAnsi="Arial" w:cs="Arial"/>
                <w:color w:val="333333"/>
                <w:sz w:val="18"/>
                <w:szCs w:val="18"/>
              </w:rPr>
              <w:t>under</w:t>
            </w:r>
            <w:proofErr w:type="gramEnd"/>
            <w:r w:rsidRPr="00717234">
              <w:rPr>
                <w:rFonts w:ascii="Arial" w:hAnsi="Arial" w:cs="Arial"/>
                <w:color w:val="333333"/>
                <w:sz w:val="18"/>
                <w:szCs w:val="18"/>
              </w:rPr>
              <w:t xml:space="preserve"> four years must be secured in either a rear or forward facing restraint.</w:t>
            </w:r>
          </w:p>
          <w:p w:rsidR="00864762" w:rsidRPr="00717234" w:rsidRDefault="00864762" w:rsidP="00717234">
            <w:pPr>
              <w:numPr>
                <w:ilvl w:val="0"/>
                <w:numId w:val="2"/>
              </w:numPr>
              <w:spacing w:line="163" w:lineRule="atLeast"/>
              <w:rPr>
                <w:rFonts w:ascii="Arial" w:hAnsi="Arial" w:cs="Arial"/>
                <w:color w:val="333333"/>
                <w:sz w:val="18"/>
                <w:szCs w:val="18"/>
              </w:rPr>
            </w:pPr>
            <w:r w:rsidRPr="00717234">
              <w:rPr>
                <w:rFonts w:ascii="Arial" w:hAnsi="Arial" w:cs="Arial"/>
                <w:color w:val="333333"/>
                <w:sz w:val="18"/>
                <w:szCs w:val="18"/>
              </w:rPr>
              <w:t xml:space="preserve">Children aged four years to </w:t>
            </w:r>
            <w:proofErr w:type="gramStart"/>
            <w:r w:rsidRPr="00717234">
              <w:rPr>
                <w:rFonts w:ascii="Arial" w:hAnsi="Arial" w:cs="Arial"/>
                <w:color w:val="333333"/>
                <w:sz w:val="18"/>
                <w:szCs w:val="18"/>
              </w:rPr>
              <w:t>under</w:t>
            </w:r>
            <w:proofErr w:type="gramEnd"/>
            <w:r w:rsidRPr="00717234">
              <w:rPr>
                <w:rFonts w:ascii="Arial" w:hAnsi="Arial" w:cs="Arial"/>
                <w:color w:val="333333"/>
                <w:sz w:val="18"/>
                <w:szCs w:val="18"/>
              </w:rPr>
              <w:t xml:space="preserve"> seven years must be secured in forward facing child restraint or booster seat.</w:t>
            </w:r>
          </w:p>
          <w:p w:rsidR="00864762" w:rsidRPr="00717234" w:rsidRDefault="00864762" w:rsidP="00717234">
            <w:pPr>
              <w:numPr>
                <w:ilvl w:val="0"/>
                <w:numId w:val="2"/>
              </w:numPr>
              <w:spacing w:line="163" w:lineRule="atLeast"/>
              <w:rPr>
                <w:rFonts w:ascii="Arial" w:hAnsi="Arial" w:cs="Arial"/>
                <w:color w:val="333333"/>
                <w:sz w:val="18"/>
                <w:szCs w:val="18"/>
              </w:rPr>
            </w:pPr>
            <w:r w:rsidRPr="00717234">
              <w:rPr>
                <w:rFonts w:ascii="Arial" w:hAnsi="Arial" w:cs="Arial"/>
                <w:color w:val="333333"/>
                <w:sz w:val="18"/>
                <w:szCs w:val="18"/>
              </w:rPr>
              <w:t>Children younger than four years cannot travel in the front seat of a vehicle with two or more rows.</w:t>
            </w:r>
          </w:p>
          <w:p w:rsidR="00864762" w:rsidRPr="00717234" w:rsidRDefault="00864762" w:rsidP="00717234">
            <w:pPr>
              <w:numPr>
                <w:ilvl w:val="0"/>
                <w:numId w:val="2"/>
              </w:numPr>
              <w:spacing w:line="163" w:lineRule="atLeast"/>
              <w:rPr>
                <w:rFonts w:ascii="Arial" w:hAnsi="Arial" w:cs="Arial"/>
                <w:color w:val="333333"/>
                <w:sz w:val="18"/>
                <w:szCs w:val="18"/>
              </w:rPr>
            </w:pPr>
            <w:r w:rsidRPr="00717234">
              <w:rPr>
                <w:rFonts w:ascii="Arial" w:hAnsi="Arial" w:cs="Arial"/>
                <w:color w:val="333333"/>
                <w:sz w:val="18"/>
                <w:szCs w:val="18"/>
              </w:rPr>
              <w:t xml:space="preserve">Children aged four years to </w:t>
            </w:r>
            <w:proofErr w:type="gramStart"/>
            <w:r w:rsidRPr="00717234">
              <w:rPr>
                <w:rFonts w:ascii="Arial" w:hAnsi="Arial" w:cs="Arial"/>
                <w:color w:val="333333"/>
                <w:sz w:val="18"/>
                <w:szCs w:val="18"/>
              </w:rPr>
              <w:t>under</w:t>
            </w:r>
            <w:proofErr w:type="gramEnd"/>
            <w:r w:rsidRPr="00717234">
              <w:rPr>
                <w:rFonts w:ascii="Arial" w:hAnsi="Arial" w:cs="Arial"/>
                <w:color w:val="333333"/>
                <w:sz w:val="18"/>
                <w:szCs w:val="18"/>
              </w:rPr>
              <w:t xml:space="preserve"> seven years cannot travel in the front seat of a vehicle with two or more rows, unless all other back seats are occupied by children younger than seven years in a child restraint or booster seat.</w:t>
            </w:r>
          </w:p>
        </w:tc>
        <w:tc>
          <w:tcPr>
            <w:tcW w:w="1984" w:type="dxa"/>
          </w:tcPr>
          <w:p w:rsidR="00864762" w:rsidRPr="00717234" w:rsidRDefault="00864762" w:rsidP="00D9146D">
            <w:pPr>
              <w:pStyle w:val="Heading1"/>
              <w:outlineLvl w:val="0"/>
              <w:rPr>
                <w:rFonts w:ascii="Arial" w:hAnsi="Arial" w:cs="Arial"/>
                <w:color w:val="333333"/>
                <w:sz w:val="18"/>
                <w:szCs w:val="18"/>
              </w:rPr>
            </w:pPr>
          </w:p>
        </w:tc>
      </w:tr>
      <w:tr w:rsidR="00864762" w:rsidRPr="00717234" w:rsidTr="004401F7">
        <w:trPr>
          <w:trHeight w:val="1343"/>
        </w:trPr>
        <w:tc>
          <w:tcPr>
            <w:tcW w:w="1985" w:type="dxa"/>
          </w:tcPr>
          <w:p w:rsidR="00864762" w:rsidRPr="00717234" w:rsidRDefault="00176705" w:rsidP="00717234">
            <w:pPr>
              <w:shd w:val="clear" w:color="auto" w:fill="FFFFFF"/>
              <w:outlineLvl w:val="1"/>
              <w:rPr>
                <w:rFonts w:ascii="Arial" w:eastAsia="Times New Roman" w:hAnsi="Arial" w:cs="Arial"/>
                <w:b/>
                <w:bCs/>
                <w:kern w:val="36"/>
                <w:sz w:val="18"/>
                <w:szCs w:val="18"/>
                <w:u w:val="single"/>
                <w:lang w:eastAsia="en-AU"/>
              </w:rPr>
            </w:pPr>
            <w:hyperlink r:id="rId29" w:history="1">
              <w:r w:rsidR="00864762" w:rsidRPr="00176705">
                <w:rPr>
                  <w:rStyle w:val="Hyperlink"/>
                  <w:rFonts w:ascii="Arial" w:eastAsia="Times New Roman" w:hAnsi="Arial" w:cs="Arial"/>
                  <w:b/>
                  <w:bCs/>
                  <w:kern w:val="36"/>
                  <w:sz w:val="18"/>
                  <w:szCs w:val="18"/>
                  <w:lang w:eastAsia="en-AU"/>
                </w:rPr>
                <w:t xml:space="preserve">Pool Fencing </w:t>
              </w:r>
              <w:r w:rsidR="00864762" w:rsidRPr="00176705">
                <w:rPr>
                  <w:rStyle w:val="Hyperlink"/>
                  <w:rFonts w:ascii="Arial" w:eastAsia="Times New Roman" w:hAnsi="Arial" w:cs="Arial"/>
                  <w:b/>
                  <w:bCs/>
                  <w:sz w:val="18"/>
                  <w:szCs w:val="18"/>
                  <w:lang w:eastAsia="en-AU"/>
                </w:rPr>
                <w:t>Swimming Pool Safety Act 2004NT Government legislatio</w:t>
              </w:r>
              <w:r w:rsidR="00717234" w:rsidRPr="00176705">
                <w:rPr>
                  <w:rStyle w:val="Hyperlink"/>
                  <w:rFonts w:ascii="Arial" w:eastAsia="Times New Roman" w:hAnsi="Arial" w:cs="Arial"/>
                  <w:b/>
                  <w:bCs/>
                  <w:sz w:val="18"/>
                  <w:szCs w:val="18"/>
                  <w:lang w:eastAsia="en-AU"/>
                </w:rPr>
                <w:t>n</w:t>
              </w:r>
            </w:hyperlink>
          </w:p>
        </w:tc>
        <w:tc>
          <w:tcPr>
            <w:tcW w:w="11340" w:type="dxa"/>
          </w:tcPr>
          <w:p w:rsidR="00864762" w:rsidRPr="00717234" w:rsidRDefault="00864762" w:rsidP="00717234">
            <w:pPr>
              <w:pStyle w:val="NormalWeb"/>
              <w:shd w:val="clear" w:color="auto" w:fill="FFFFFF"/>
              <w:spacing w:before="0" w:beforeAutospacing="0" w:after="0" w:afterAutospacing="0"/>
              <w:rPr>
                <w:rFonts w:ascii="Arial" w:hAnsi="Arial" w:cs="Arial"/>
                <w:color w:val="333333"/>
                <w:sz w:val="18"/>
                <w:szCs w:val="18"/>
              </w:rPr>
            </w:pPr>
            <w:r w:rsidRPr="00717234">
              <w:rPr>
                <w:rFonts w:ascii="Arial" w:hAnsi="Arial" w:cs="Arial"/>
                <w:color w:val="333333"/>
                <w:sz w:val="18"/>
                <w:szCs w:val="18"/>
              </w:rPr>
              <w:t xml:space="preserve">Pool fencing laws which achieve practical and common sense outcomes took effect from 15 March 2004. The </w:t>
            </w:r>
            <w:hyperlink r:id="rId30" w:history="1">
              <w:r w:rsidRPr="00717234">
                <w:rPr>
                  <w:rStyle w:val="Hyperlink"/>
                  <w:rFonts w:ascii="Arial" w:hAnsi="Arial" w:cs="Arial"/>
                  <w:i/>
                  <w:iCs/>
                  <w:sz w:val="18"/>
                  <w:szCs w:val="18"/>
                </w:rPr>
                <w:t>Swimming Pool Safety Act 2004</w:t>
              </w:r>
            </w:hyperlink>
            <w:r w:rsidRPr="00717234">
              <w:rPr>
                <w:rFonts w:ascii="Arial" w:hAnsi="Arial" w:cs="Arial"/>
                <w:color w:val="333333"/>
                <w:sz w:val="18"/>
                <w:szCs w:val="18"/>
              </w:rPr>
              <w:t xml:space="preserve"> applies to residential properties smaller than 1.8 hectares with a swimming pool or spa.</w:t>
            </w:r>
          </w:p>
          <w:p w:rsidR="00864762" w:rsidRPr="00717234" w:rsidRDefault="00864762" w:rsidP="00717234">
            <w:pPr>
              <w:pStyle w:val="NormalWeb"/>
              <w:shd w:val="clear" w:color="auto" w:fill="FFFFFF"/>
              <w:spacing w:before="0" w:beforeAutospacing="0" w:after="0" w:afterAutospacing="0"/>
              <w:rPr>
                <w:rFonts w:ascii="Arial" w:hAnsi="Arial" w:cs="Arial"/>
                <w:color w:val="333333"/>
                <w:sz w:val="18"/>
                <w:szCs w:val="18"/>
              </w:rPr>
            </w:pPr>
            <w:r w:rsidRPr="00717234">
              <w:rPr>
                <w:rFonts w:ascii="Arial" w:hAnsi="Arial" w:cs="Arial"/>
                <w:color w:val="333333"/>
                <w:sz w:val="18"/>
                <w:szCs w:val="18"/>
              </w:rPr>
              <w:t>Child safety remains at the heart of the pool safety laws. The Community Safety Standard and the Modified Australian Standard are based on the same intention of preventing young children from obtaining access to a pool or spa area. To comply with safe pool standards, pools and spas must be enclosed by a barrier that will effectively prevent a child under five years of age from obtaining unsupervised access.</w:t>
            </w:r>
          </w:p>
        </w:tc>
        <w:tc>
          <w:tcPr>
            <w:tcW w:w="1984" w:type="dxa"/>
          </w:tcPr>
          <w:p w:rsidR="00864762" w:rsidRPr="00717234" w:rsidRDefault="00864762" w:rsidP="00717234">
            <w:pPr>
              <w:pStyle w:val="NormalWeb"/>
              <w:shd w:val="clear" w:color="auto" w:fill="FFFFFF"/>
              <w:rPr>
                <w:rFonts w:ascii="Arial" w:hAnsi="Arial" w:cs="Arial"/>
                <w:color w:val="333333"/>
                <w:sz w:val="18"/>
                <w:szCs w:val="18"/>
              </w:rPr>
            </w:pPr>
          </w:p>
        </w:tc>
      </w:tr>
      <w:bookmarkStart w:id="0" w:name="top"/>
      <w:bookmarkEnd w:id="0"/>
      <w:tr w:rsidR="00864762" w:rsidRPr="00717234" w:rsidTr="004401F7">
        <w:tc>
          <w:tcPr>
            <w:tcW w:w="1985" w:type="dxa"/>
          </w:tcPr>
          <w:p w:rsidR="00864762" w:rsidRPr="00176705" w:rsidRDefault="00176705" w:rsidP="00717234">
            <w:pPr>
              <w:pStyle w:val="Heading1"/>
              <w:spacing w:before="0"/>
              <w:outlineLvl w:val="0"/>
              <w:rPr>
                <w:rStyle w:val="Hyperlink"/>
                <w:rFonts w:ascii="Arial" w:hAnsi="Arial" w:cs="Arial"/>
                <w:sz w:val="18"/>
                <w:szCs w:val="18"/>
              </w:rPr>
            </w:pPr>
            <w:r>
              <w:rPr>
                <w:rFonts w:ascii="Arial" w:hAnsi="Arial" w:cs="Arial"/>
                <w:color w:val="auto"/>
                <w:sz w:val="18"/>
                <w:szCs w:val="18"/>
                <w:u w:val="single"/>
              </w:rPr>
              <w:fldChar w:fldCharType="begin"/>
            </w:r>
            <w:r>
              <w:rPr>
                <w:rFonts w:ascii="Arial" w:hAnsi="Arial" w:cs="Arial"/>
                <w:color w:val="auto"/>
                <w:sz w:val="18"/>
                <w:szCs w:val="18"/>
                <w:u w:val="single"/>
              </w:rPr>
              <w:instrText xml:space="preserve"> HYPERLINK "http://www.roadsafety.nt.gov.au/campaign/seatbelts/index.shtml" </w:instrText>
            </w:r>
            <w:r>
              <w:rPr>
                <w:rFonts w:ascii="Arial" w:hAnsi="Arial" w:cs="Arial"/>
                <w:color w:val="auto"/>
                <w:sz w:val="18"/>
                <w:szCs w:val="18"/>
                <w:u w:val="single"/>
              </w:rPr>
            </w:r>
            <w:r>
              <w:rPr>
                <w:rFonts w:ascii="Arial" w:hAnsi="Arial" w:cs="Arial"/>
                <w:color w:val="auto"/>
                <w:sz w:val="18"/>
                <w:szCs w:val="18"/>
                <w:u w:val="single"/>
              </w:rPr>
              <w:fldChar w:fldCharType="separate"/>
            </w:r>
            <w:r w:rsidR="00864762" w:rsidRPr="00176705">
              <w:rPr>
                <w:rStyle w:val="Hyperlink"/>
                <w:rFonts w:ascii="Arial" w:hAnsi="Arial" w:cs="Arial"/>
                <w:sz w:val="18"/>
                <w:szCs w:val="18"/>
              </w:rPr>
              <w:t xml:space="preserve">Seatbelts and Child Restraints </w:t>
            </w:r>
          </w:p>
          <w:p w:rsidR="00864762" w:rsidRPr="00717234" w:rsidRDefault="00864762" w:rsidP="00717234">
            <w:pPr>
              <w:pStyle w:val="Heading3"/>
              <w:spacing w:before="0"/>
              <w:outlineLvl w:val="2"/>
              <w:rPr>
                <w:rFonts w:ascii="Arial" w:hAnsi="Arial" w:cs="Arial"/>
                <w:color w:val="auto"/>
                <w:sz w:val="18"/>
                <w:szCs w:val="18"/>
              </w:rPr>
            </w:pPr>
            <w:r w:rsidRPr="00176705">
              <w:rPr>
                <w:rStyle w:val="Hyperlink"/>
                <w:rFonts w:ascii="Arial" w:hAnsi="Arial" w:cs="Arial"/>
                <w:sz w:val="18"/>
                <w:szCs w:val="18"/>
              </w:rPr>
              <w:t>Proposed introduction of new national child restraint laws for the NT</w:t>
            </w:r>
            <w:r w:rsidR="00176705">
              <w:rPr>
                <w:rFonts w:ascii="Arial" w:hAnsi="Arial" w:cs="Arial"/>
                <w:color w:val="auto"/>
                <w:sz w:val="18"/>
                <w:szCs w:val="18"/>
                <w:u w:val="single"/>
              </w:rPr>
              <w:fldChar w:fldCharType="end"/>
            </w:r>
            <w:r w:rsidRPr="00717234">
              <w:rPr>
                <w:rStyle w:val="Strong"/>
                <w:rFonts w:ascii="Arial" w:hAnsi="Arial" w:cs="Arial"/>
                <w:color w:val="auto"/>
                <w:sz w:val="18"/>
                <w:szCs w:val="18"/>
              </w:rPr>
              <w:t xml:space="preserve"> </w:t>
            </w:r>
          </w:p>
          <w:p w:rsidR="00864762" w:rsidRPr="00717234" w:rsidRDefault="00864762" w:rsidP="00717234">
            <w:pPr>
              <w:rPr>
                <w:rFonts w:ascii="Arial" w:hAnsi="Arial" w:cs="Arial"/>
                <w:sz w:val="18"/>
                <w:szCs w:val="18"/>
              </w:rPr>
            </w:pPr>
          </w:p>
        </w:tc>
        <w:tc>
          <w:tcPr>
            <w:tcW w:w="11340" w:type="dxa"/>
          </w:tcPr>
          <w:p w:rsidR="00864762" w:rsidRPr="00717234" w:rsidRDefault="00864762" w:rsidP="00717234">
            <w:pPr>
              <w:pStyle w:val="NormalWeb"/>
              <w:spacing w:before="0" w:beforeAutospacing="0" w:after="0" w:afterAutospacing="0"/>
              <w:rPr>
                <w:rFonts w:ascii="Arial" w:hAnsi="Arial" w:cs="Arial"/>
                <w:sz w:val="18"/>
                <w:szCs w:val="18"/>
              </w:rPr>
            </w:pPr>
            <w:r w:rsidRPr="00717234">
              <w:rPr>
                <w:rFonts w:ascii="Arial" w:hAnsi="Arial" w:cs="Arial"/>
                <w:sz w:val="18"/>
                <w:szCs w:val="18"/>
              </w:rPr>
              <w:t xml:space="preserve">The Australian Transport Council (comprising of Transport and Road Safety Minister's from across Australia) approved new Australian Road Rules which mandated for size-appropriate restraints for all children up to the age of seven years. In supporting the adoption of these new national child restraint laws, the Northern Territory Government recognised that some details needed to be further investigated prior to implementation across the Territory. </w:t>
            </w:r>
          </w:p>
          <w:p w:rsidR="00864762" w:rsidRPr="00717234" w:rsidRDefault="00864762" w:rsidP="00717234">
            <w:pPr>
              <w:pStyle w:val="NormalWeb"/>
              <w:spacing w:before="0" w:beforeAutospacing="0" w:after="0" w:afterAutospacing="0"/>
              <w:rPr>
                <w:rFonts w:ascii="Arial" w:hAnsi="Arial" w:cs="Arial"/>
                <w:sz w:val="18"/>
                <w:szCs w:val="18"/>
              </w:rPr>
            </w:pPr>
            <w:r w:rsidRPr="00717234">
              <w:rPr>
                <w:rFonts w:ascii="Arial" w:hAnsi="Arial" w:cs="Arial"/>
                <w:sz w:val="18"/>
                <w:szCs w:val="18"/>
              </w:rPr>
              <w:t>These new laws are expected to be introduced in the very near future in the Northern Territory and will require drivers to ensure children under the age of seven years are safely and "appropriately" restrained. See below for a brief summary. The Department will make further information available to the community when the new laws are ready for introduction into the Northern Territory</w:t>
            </w:r>
          </w:p>
        </w:tc>
        <w:tc>
          <w:tcPr>
            <w:tcW w:w="1984" w:type="dxa"/>
          </w:tcPr>
          <w:p w:rsidR="00864762" w:rsidRPr="00717234" w:rsidRDefault="00864762" w:rsidP="00D9146D">
            <w:pPr>
              <w:pStyle w:val="NormalWeb"/>
              <w:rPr>
                <w:rFonts w:ascii="Arial" w:hAnsi="Arial" w:cs="Arial"/>
                <w:sz w:val="18"/>
                <w:szCs w:val="18"/>
              </w:rPr>
            </w:pPr>
          </w:p>
        </w:tc>
      </w:tr>
      <w:tr w:rsidR="00864762" w:rsidRPr="00717234" w:rsidTr="004401F7">
        <w:tc>
          <w:tcPr>
            <w:tcW w:w="1985" w:type="dxa"/>
          </w:tcPr>
          <w:p w:rsidR="00864762" w:rsidRPr="00717234" w:rsidRDefault="006E47AD" w:rsidP="00717234">
            <w:pPr>
              <w:pStyle w:val="Heading4"/>
              <w:rPr>
                <w:rFonts w:ascii="Arial" w:hAnsi="Arial" w:cs="Arial"/>
                <w:i w:val="0"/>
                <w:color w:val="auto"/>
                <w:sz w:val="18"/>
                <w:szCs w:val="18"/>
                <w:u w:val="single"/>
                <w:lang/>
              </w:rPr>
            </w:pPr>
            <w:hyperlink r:id="rId31" w:history="1">
              <w:r w:rsidR="00864762" w:rsidRPr="006E47AD">
                <w:rPr>
                  <w:rStyle w:val="Hyperlink"/>
                  <w:rFonts w:ascii="Arial" w:hAnsi="Arial" w:cs="Arial"/>
                  <w:i w:val="0"/>
                  <w:sz w:val="18"/>
                  <w:szCs w:val="18"/>
                  <w:lang/>
                </w:rPr>
                <w:t>Smoke Alarm Law in the Northern Territory:</w:t>
              </w:r>
            </w:hyperlink>
          </w:p>
        </w:tc>
        <w:tc>
          <w:tcPr>
            <w:tcW w:w="11340" w:type="dxa"/>
          </w:tcPr>
          <w:p w:rsidR="00864762" w:rsidRPr="00717234" w:rsidRDefault="00864762" w:rsidP="00717234">
            <w:pPr>
              <w:pStyle w:val="Heading4"/>
              <w:spacing w:before="0"/>
              <w:outlineLvl w:val="3"/>
              <w:rPr>
                <w:rFonts w:ascii="Arial" w:hAnsi="Arial" w:cs="Arial"/>
                <w:b w:val="0"/>
                <w:i w:val="0"/>
                <w:color w:val="auto"/>
                <w:sz w:val="18"/>
                <w:szCs w:val="18"/>
                <w:lang/>
              </w:rPr>
            </w:pPr>
            <w:hyperlink r:id="rId32" w:history="1">
              <w:r w:rsidRPr="00717234">
                <w:rPr>
                  <w:rStyle w:val="Hyperlink"/>
                  <w:rFonts w:ascii="Arial" w:hAnsi="Arial" w:cs="Arial"/>
                  <w:b w:val="0"/>
                  <w:i w:val="0"/>
                  <w:sz w:val="18"/>
                  <w:szCs w:val="18"/>
                  <w:lang/>
                </w:rPr>
                <w:t>Smoke Alarm Law in the Northern Territory:</w:t>
              </w:r>
            </w:hyperlink>
          </w:p>
          <w:p w:rsidR="00864762" w:rsidRPr="00717234" w:rsidRDefault="00864762" w:rsidP="00717234">
            <w:pPr>
              <w:rPr>
                <w:rFonts w:ascii="Arial" w:hAnsi="Arial" w:cs="Arial"/>
                <w:sz w:val="18"/>
                <w:szCs w:val="18"/>
                <w:lang/>
              </w:rPr>
            </w:pPr>
            <w:r w:rsidRPr="00717234">
              <w:rPr>
                <w:rFonts w:ascii="Arial" w:hAnsi="Arial" w:cs="Arial"/>
                <w:sz w:val="18"/>
                <w:szCs w:val="18"/>
                <w:lang/>
              </w:rPr>
              <w:t xml:space="preserve">In line with the Building Code of Australia, all new and renovated residential buildings, constructed after August 1997 must have working smoke alarms connected directly to the mains power supply with a battery back-up. </w:t>
            </w:r>
          </w:p>
          <w:p w:rsidR="00864762" w:rsidRPr="00717234" w:rsidRDefault="00864762" w:rsidP="00717234">
            <w:pPr>
              <w:rPr>
                <w:rFonts w:ascii="Arial" w:hAnsi="Arial" w:cs="Arial"/>
                <w:sz w:val="18"/>
                <w:szCs w:val="18"/>
              </w:rPr>
            </w:pPr>
          </w:p>
        </w:tc>
        <w:tc>
          <w:tcPr>
            <w:tcW w:w="1984" w:type="dxa"/>
          </w:tcPr>
          <w:p w:rsidR="00864762" w:rsidRPr="00717234" w:rsidRDefault="00864762" w:rsidP="00D53371">
            <w:pPr>
              <w:pStyle w:val="Heading4"/>
              <w:outlineLvl w:val="3"/>
              <w:rPr>
                <w:rFonts w:ascii="Arial" w:hAnsi="Arial" w:cs="Arial"/>
                <w:b w:val="0"/>
                <w:i w:val="0"/>
                <w:color w:val="auto"/>
                <w:sz w:val="18"/>
                <w:szCs w:val="18"/>
                <w:lang/>
              </w:rPr>
            </w:pPr>
          </w:p>
        </w:tc>
      </w:tr>
      <w:tr w:rsidR="00411A81" w:rsidRPr="00717234" w:rsidTr="004401F7">
        <w:tc>
          <w:tcPr>
            <w:tcW w:w="1985" w:type="dxa"/>
          </w:tcPr>
          <w:p w:rsidR="00411A81" w:rsidRPr="00717234" w:rsidRDefault="004401F7" w:rsidP="00D53371">
            <w:pPr>
              <w:pStyle w:val="Heading4"/>
              <w:outlineLvl w:val="3"/>
              <w:rPr>
                <w:rFonts w:ascii="Arial" w:hAnsi="Arial" w:cs="Arial"/>
                <w:i w:val="0"/>
                <w:color w:val="auto"/>
                <w:sz w:val="18"/>
                <w:szCs w:val="18"/>
                <w:u w:val="single"/>
                <w:lang/>
              </w:rPr>
            </w:pPr>
            <w:hyperlink r:id="rId33" w:history="1">
              <w:r w:rsidR="00411A81" w:rsidRPr="004401F7">
                <w:rPr>
                  <w:rStyle w:val="Hyperlink"/>
                  <w:rFonts w:ascii="Arial" w:hAnsi="Arial" w:cs="Arial"/>
                  <w:i w:val="0"/>
                  <w:sz w:val="18"/>
                  <w:szCs w:val="18"/>
                </w:rPr>
                <w:t>Law or an Australian Standard for hot water systems</w:t>
              </w:r>
            </w:hyperlink>
          </w:p>
        </w:tc>
        <w:tc>
          <w:tcPr>
            <w:tcW w:w="11340" w:type="dxa"/>
          </w:tcPr>
          <w:p w:rsidR="00000000" w:rsidRPr="00717234" w:rsidRDefault="006E47AD" w:rsidP="00717234">
            <w:pPr>
              <w:pStyle w:val="Heading4"/>
              <w:numPr>
                <w:ilvl w:val="0"/>
                <w:numId w:val="4"/>
              </w:numPr>
              <w:tabs>
                <w:tab w:val="clear" w:pos="720"/>
                <w:tab w:val="num" w:pos="175"/>
              </w:tabs>
              <w:spacing w:before="0"/>
              <w:ind w:left="175" w:hanging="175"/>
              <w:rPr>
                <w:rFonts w:ascii="Arial" w:hAnsi="Arial" w:cs="Arial"/>
                <w:b w:val="0"/>
                <w:i w:val="0"/>
                <w:color w:val="auto"/>
                <w:sz w:val="18"/>
                <w:szCs w:val="18"/>
              </w:rPr>
            </w:pPr>
            <w:r w:rsidRPr="00717234">
              <w:rPr>
                <w:rFonts w:ascii="Arial" w:hAnsi="Arial" w:cs="Arial"/>
                <w:b w:val="0"/>
                <w:i w:val="0"/>
                <w:color w:val="auto"/>
                <w:sz w:val="18"/>
                <w:szCs w:val="18"/>
              </w:rPr>
              <w:t xml:space="preserve">The law requires newly installed hot water systems to deliver water to any outlet primarily used for personal hygiene </w:t>
            </w:r>
            <w:r w:rsidRPr="00717234">
              <w:rPr>
                <w:rFonts w:ascii="Arial" w:hAnsi="Arial" w:cs="Arial"/>
                <w:b w:val="0"/>
                <w:i w:val="0"/>
                <w:color w:val="auto"/>
                <w:sz w:val="18"/>
                <w:szCs w:val="18"/>
              </w:rPr>
              <w:t xml:space="preserve">purposes, such as basins, baths and showers, at a temperature no greater than 50ºC in domestic settings (AS/NZS3500.4:2003 : Plumbing and drainage - Heated water services). </w:t>
            </w:r>
          </w:p>
          <w:p w:rsidR="00411A81" w:rsidRPr="00717234" w:rsidRDefault="006E47AD" w:rsidP="00717234">
            <w:pPr>
              <w:pStyle w:val="Heading4"/>
              <w:numPr>
                <w:ilvl w:val="0"/>
                <w:numId w:val="4"/>
              </w:numPr>
              <w:tabs>
                <w:tab w:val="clear" w:pos="720"/>
                <w:tab w:val="num" w:pos="175"/>
              </w:tabs>
              <w:spacing w:before="0"/>
              <w:ind w:left="175" w:hanging="175"/>
              <w:outlineLvl w:val="3"/>
              <w:rPr>
                <w:rFonts w:ascii="Arial" w:hAnsi="Arial" w:cs="Arial"/>
                <w:b w:val="0"/>
                <w:i w:val="0"/>
                <w:color w:val="auto"/>
                <w:sz w:val="18"/>
                <w:szCs w:val="18"/>
              </w:rPr>
            </w:pPr>
            <w:r w:rsidRPr="00717234">
              <w:rPr>
                <w:rFonts w:ascii="Arial" w:hAnsi="Arial" w:cs="Arial"/>
                <w:b w:val="0"/>
                <w:i w:val="0"/>
                <w:color w:val="auto"/>
                <w:sz w:val="18"/>
                <w:szCs w:val="18"/>
              </w:rPr>
              <w:t xml:space="preserve">Older homes may not have this tempering device installed, however it is possible </w:t>
            </w:r>
            <w:r w:rsidRPr="00717234">
              <w:rPr>
                <w:rFonts w:ascii="Arial" w:hAnsi="Arial" w:cs="Arial"/>
                <w:b w:val="0"/>
                <w:i w:val="0"/>
                <w:color w:val="auto"/>
                <w:sz w:val="18"/>
                <w:szCs w:val="18"/>
              </w:rPr>
              <w:t xml:space="preserve">to add this device to any bathroom. </w:t>
            </w:r>
          </w:p>
        </w:tc>
        <w:tc>
          <w:tcPr>
            <w:tcW w:w="1984" w:type="dxa"/>
          </w:tcPr>
          <w:p w:rsidR="00411A81" w:rsidRPr="00717234" w:rsidRDefault="00411A81" w:rsidP="00D53371">
            <w:pPr>
              <w:pStyle w:val="Heading4"/>
              <w:outlineLvl w:val="3"/>
              <w:rPr>
                <w:rFonts w:ascii="Arial" w:hAnsi="Arial" w:cs="Arial"/>
                <w:b w:val="0"/>
                <w:i w:val="0"/>
                <w:color w:val="auto"/>
                <w:sz w:val="18"/>
                <w:szCs w:val="18"/>
                <w:lang/>
              </w:rPr>
            </w:pPr>
          </w:p>
        </w:tc>
      </w:tr>
    </w:tbl>
    <w:p w:rsidR="00D9146D" w:rsidRPr="00717234" w:rsidRDefault="00D9146D" w:rsidP="00717234">
      <w:pPr>
        <w:rPr>
          <w:rFonts w:ascii="Arial" w:hAnsi="Arial" w:cs="Arial"/>
          <w:sz w:val="18"/>
          <w:szCs w:val="18"/>
        </w:rPr>
      </w:pPr>
    </w:p>
    <w:sectPr w:rsidR="00D9146D" w:rsidRPr="00717234" w:rsidSect="00864762">
      <w:headerReference w:type="default" r:id="rId34"/>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46B" w:rsidRPr="0065246B" w:rsidRDefault="0065246B" w:rsidP="0065246B">
      <w:pPr>
        <w:spacing w:after="0" w:line="240" w:lineRule="auto"/>
      </w:pPr>
      <w:r>
        <w:separator/>
      </w:r>
    </w:p>
  </w:endnote>
  <w:endnote w:type="continuationSeparator" w:id="0">
    <w:p w:rsidR="0065246B" w:rsidRPr="0065246B" w:rsidRDefault="0065246B" w:rsidP="006524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46B" w:rsidRPr="0065246B" w:rsidRDefault="0065246B" w:rsidP="0065246B">
      <w:pPr>
        <w:spacing w:after="0" w:line="240" w:lineRule="auto"/>
      </w:pPr>
      <w:r>
        <w:separator/>
      </w:r>
    </w:p>
  </w:footnote>
  <w:footnote w:type="continuationSeparator" w:id="0">
    <w:p w:rsidR="0065246B" w:rsidRPr="0065246B" w:rsidRDefault="0065246B" w:rsidP="006524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46B" w:rsidRPr="0065246B" w:rsidRDefault="0065246B" w:rsidP="0065246B">
    <w:pPr>
      <w:pStyle w:val="Header"/>
      <w:jc w:val="center"/>
      <w:rPr>
        <w:sz w:val="40"/>
        <w:szCs w:val="40"/>
        <w:u w:val="single"/>
      </w:rPr>
    </w:pPr>
    <w:r w:rsidRPr="0065246B">
      <w:rPr>
        <w:sz w:val="40"/>
        <w:szCs w:val="40"/>
        <w:u w:val="single"/>
      </w:rPr>
      <w:t>Child Safety – What is being done by the government?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pt;height:5.25pt" o:bullet="t">
        <v:imagedata r:id="rId1" o:title="green_square_plusspace"/>
      </v:shape>
    </w:pict>
  </w:numPicBullet>
  <w:abstractNum w:abstractNumId="0">
    <w:nsid w:val="0B6D7C97"/>
    <w:multiLevelType w:val="multilevel"/>
    <w:tmpl w:val="ECB80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691136"/>
    <w:multiLevelType w:val="multilevel"/>
    <w:tmpl w:val="FA66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924FB5"/>
    <w:multiLevelType w:val="multilevel"/>
    <w:tmpl w:val="169A6E0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9D40C9"/>
    <w:multiLevelType w:val="hybridMultilevel"/>
    <w:tmpl w:val="38740F2A"/>
    <w:lvl w:ilvl="0" w:tplc="32D2F2B8">
      <w:start w:val="1"/>
      <w:numFmt w:val="bullet"/>
      <w:lvlText w:val=""/>
      <w:lvlJc w:val="left"/>
      <w:pPr>
        <w:tabs>
          <w:tab w:val="num" w:pos="720"/>
        </w:tabs>
        <w:ind w:left="720" w:hanging="360"/>
      </w:pPr>
      <w:rPr>
        <w:rFonts w:ascii="Wingdings 2" w:hAnsi="Wingdings 2" w:hint="default"/>
      </w:rPr>
    </w:lvl>
    <w:lvl w:ilvl="1" w:tplc="21425C48" w:tentative="1">
      <w:start w:val="1"/>
      <w:numFmt w:val="bullet"/>
      <w:lvlText w:val=""/>
      <w:lvlJc w:val="left"/>
      <w:pPr>
        <w:tabs>
          <w:tab w:val="num" w:pos="1440"/>
        </w:tabs>
        <w:ind w:left="1440" w:hanging="360"/>
      </w:pPr>
      <w:rPr>
        <w:rFonts w:ascii="Wingdings 2" w:hAnsi="Wingdings 2" w:hint="default"/>
      </w:rPr>
    </w:lvl>
    <w:lvl w:ilvl="2" w:tplc="92CE6262" w:tentative="1">
      <w:start w:val="1"/>
      <w:numFmt w:val="bullet"/>
      <w:lvlText w:val=""/>
      <w:lvlJc w:val="left"/>
      <w:pPr>
        <w:tabs>
          <w:tab w:val="num" w:pos="2160"/>
        </w:tabs>
        <w:ind w:left="2160" w:hanging="360"/>
      </w:pPr>
      <w:rPr>
        <w:rFonts w:ascii="Wingdings 2" w:hAnsi="Wingdings 2" w:hint="default"/>
      </w:rPr>
    </w:lvl>
    <w:lvl w:ilvl="3" w:tplc="B2501362" w:tentative="1">
      <w:start w:val="1"/>
      <w:numFmt w:val="bullet"/>
      <w:lvlText w:val=""/>
      <w:lvlJc w:val="left"/>
      <w:pPr>
        <w:tabs>
          <w:tab w:val="num" w:pos="2880"/>
        </w:tabs>
        <w:ind w:left="2880" w:hanging="360"/>
      </w:pPr>
      <w:rPr>
        <w:rFonts w:ascii="Wingdings 2" w:hAnsi="Wingdings 2" w:hint="default"/>
      </w:rPr>
    </w:lvl>
    <w:lvl w:ilvl="4" w:tplc="07D0097C" w:tentative="1">
      <w:start w:val="1"/>
      <w:numFmt w:val="bullet"/>
      <w:lvlText w:val=""/>
      <w:lvlJc w:val="left"/>
      <w:pPr>
        <w:tabs>
          <w:tab w:val="num" w:pos="3600"/>
        </w:tabs>
        <w:ind w:left="3600" w:hanging="360"/>
      </w:pPr>
      <w:rPr>
        <w:rFonts w:ascii="Wingdings 2" w:hAnsi="Wingdings 2" w:hint="default"/>
      </w:rPr>
    </w:lvl>
    <w:lvl w:ilvl="5" w:tplc="202ED23E" w:tentative="1">
      <w:start w:val="1"/>
      <w:numFmt w:val="bullet"/>
      <w:lvlText w:val=""/>
      <w:lvlJc w:val="left"/>
      <w:pPr>
        <w:tabs>
          <w:tab w:val="num" w:pos="4320"/>
        </w:tabs>
        <w:ind w:left="4320" w:hanging="360"/>
      </w:pPr>
      <w:rPr>
        <w:rFonts w:ascii="Wingdings 2" w:hAnsi="Wingdings 2" w:hint="default"/>
      </w:rPr>
    </w:lvl>
    <w:lvl w:ilvl="6" w:tplc="28186A04" w:tentative="1">
      <w:start w:val="1"/>
      <w:numFmt w:val="bullet"/>
      <w:lvlText w:val=""/>
      <w:lvlJc w:val="left"/>
      <w:pPr>
        <w:tabs>
          <w:tab w:val="num" w:pos="5040"/>
        </w:tabs>
        <w:ind w:left="5040" w:hanging="360"/>
      </w:pPr>
      <w:rPr>
        <w:rFonts w:ascii="Wingdings 2" w:hAnsi="Wingdings 2" w:hint="default"/>
      </w:rPr>
    </w:lvl>
    <w:lvl w:ilvl="7" w:tplc="9E1E5DBE" w:tentative="1">
      <w:start w:val="1"/>
      <w:numFmt w:val="bullet"/>
      <w:lvlText w:val=""/>
      <w:lvlJc w:val="left"/>
      <w:pPr>
        <w:tabs>
          <w:tab w:val="num" w:pos="5760"/>
        </w:tabs>
        <w:ind w:left="5760" w:hanging="360"/>
      </w:pPr>
      <w:rPr>
        <w:rFonts w:ascii="Wingdings 2" w:hAnsi="Wingdings 2" w:hint="default"/>
      </w:rPr>
    </w:lvl>
    <w:lvl w:ilvl="8" w:tplc="B04C09EA" w:tentative="1">
      <w:start w:val="1"/>
      <w:numFmt w:val="bullet"/>
      <w:lvlText w:val=""/>
      <w:lvlJc w:val="left"/>
      <w:pPr>
        <w:tabs>
          <w:tab w:val="num" w:pos="6480"/>
        </w:tabs>
        <w:ind w:left="6480" w:hanging="360"/>
      </w:pPr>
      <w:rPr>
        <w:rFonts w:ascii="Wingdings 2" w:hAnsi="Wingdings 2" w:hint="default"/>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E4E2A"/>
    <w:rsid w:val="00176705"/>
    <w:rsid w:val="001E4E2A"/>
    <w:rsid w:val="00411A81"/>
    <w:rsid w:val="004401F7"/>
    <w:rsid w:val="0065246B"/>
    <w:rsid w:val="006E47AD"/>
    <w:rsid w:val="00717234"/>
    <w:rsid w:val="00864762"/>
    <w:rsid w:val="009E1D50"/>
    <w:rsid w:val="00AC66F6"/>
    <w:rsid w:val="00B369A4"/>
    <w:rsid w:val="00D53371"/>
    <w:rsid w:val="00D9146D"/>
    <w:rsid w:val="00E879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E2A"/>
  </w:style>
  <w:style w:type="paragraph" w:styleId="Heading1">
    <w:name w:val="heading 1"/>
    <w:basedOn w:val="Normal"/>
    <w:next w:val="Normal"/>
    <w:link w:val="Heading1Char"/>
    <w:uiPriority w:val="9"/>
    <w:qFormat/>
    <w:rsid w:val="001E4E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E4E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E4E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533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E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E4E2A"/>
    <w:rPr>
      <w:color w:val="0000FF"/>
      <w:u w:val="single"/>
    </w:rPr>
  </w:style>
  <w:style w:type="paragraph" w:styleId="NormalWeb">
    <w:name w:val="Normal (Web)"/>
    <w:basedOn w:val="Normal"/>
    <w:uiPriority w:val="99"/>
    <w:unhideWhenUsed/>
    <w:rsid w:val="001E4E2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ntentossregulation">
    <w:name w:val="contentossregulation"/>
    <w:basedOn w:val="DefaultParagraphFont"/>
    <w:rsid w:val="001E4E2A"/>
  </w:style>
  <w:style w:type="character" w:customStyle="1" w:styleId="Heading1Char">
    <w:name w:val="Heading 1 Char"/>
    <w:basedOn w:val="DefaultParagraphFont"/>
    <w:link w:val="Heading1"/>
    <w:uiPriority w:val="9"/>
    <w:rsid w:val="001E4E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E4E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E4E2A"/>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1E4E2A"/>
    <w:rPr>
      <w:b/>
      <w:bCs/>
    </w:rPr>
  </w:style>
  <w:style w:type="paragraph" w:customStyle="1" w:styleId="meta">
    <w:name w:val="meta"/>
    <w:basedOn w:val="Normal"/>
    <w:rsid w:val="001E4E2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4Char">
    <w:name w:val="Heading 4 Char"/>
    <w:basedOn w:val="DefaultParagraphFont"/>
    <w:link w:val="Heading4"/>
    <w:uiPriority w:val="9"/>
    <w:rsid w:val="00D53371"/>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semiHidden/>
    <w:unhideWhenUsed/>
    <w:rsid w:val="0065246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5246B"/>
  </w:style>
  <w:style w:type="paragraph" w:styleId="Footer">
    <w:name w:val="footer"/>
    <w:basedOn w:val="Normal"/>
    <w:link w:val="FooterChar"/>
    <w:uiPriority w:val="99"/>
    <w:semiHidden/>
    <w:unhideWhenUsed/>
    <w:rsid w:val="0065246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5246B"/>
  </w:style>
</w:styles>
</file>

<file path=word/webSettings.xml><?xml version="1.0" encoding="utf-8"?>
<w:webSettings xmlns:r="http://schemas.openxmlformats.org/officeDocument/2006/relationships" xmlns:w="http://schemas.openxmlformats.org/wordprocessingml/2006/main">
  <w:divs>
    <w:div w:id="64496927">
      <w:bodyDiv w:val="1"/>
      <w:marLeft w:val="0"/>
      <w:marRight w:val="0"/>
      <w:marTop w:val="0"/>
      <w:marBottom w:val="0"/>
      <w:divBdr>
        <w:top w:val="none" w:sz="0" w:space="0" w:color="auto"/>
        <w:left w:val="none" w:sz="0" w:space="0" w:color="auto"/>
        <w:bottom w:val="none" w:sz="0" w:space="0" w:color="auto"/>
        <w:right w:val="none" w:sz="0" w:space="0" w:color="auto"/>
      </w:divBdr>
      <w:divsChild>
        <w:div w:id="1609117482">
          <w:marLeft w:val="0"/>
          <w:marRight w:val="0"/>
          <w:marTop w:val="0"/>
          <w:marBottom w:val="0"/>
          <w:divBdr>
            <w:top w:val="none" w:sz="0" w:space="0" w:color="auto"/>
            <w:left w:val="none" w:sz="0" w:space="0" w:color="auto"/>
            <w:bottom w:val="none" w:sz="0" w:space="0" w:color="auto"/>
            <w:right w:val="none" w:sz="0" w:space="0" w:color="auto"/>
          </w:divBdr>
          <w:divsChild>
            <w:div w:id="463893191">
              <w:marLeft w:val="0"/>
              <w:marRight w:val="0"/>
              <w:marTop w:val="0"/>
              <w:marBottom w:val="0"/>
              <w:divBdr>
                <w:top w:val="none" w:sz="0" w:space="0" w:color="auto"/>
                <w:left w:val="none" w:sz="0" w:space="0" w:color="auto"/>
                <w:bottom w:val="none" w:sz="0" w:space="0" w:color="auto"/>
                <w:right w:val="none" w:sz="0" w:space="0" w:color="auto"/>
              </w:divBdr>
              <w:divsChild>
                <w:div w:id="2084063331">
                  <w:marLeft w:val="0"/>
                  <w:marRight w:val="0"/>
                  <w:marTop w:val="0"/>
                  <w:marBottom w:val="0"/>
                  <w:divBdr>
                    <w:top w:val="none" w:sz="0" w:space="0" w:color="auto"/>
                    <w:left w:val="none" w:sz="0" w:space="0" w:color="auto"/>
                    <w:bottom w:val="none" w:sz="0" w:space="0" w:color="auto"/>
                    <w:right w:val="none" w:sz="0" w:space="0" w:color="auto"/>
                  </w:divBdr>
                  <w:divsChild>
                    <w:div w:id="1745563861">
                      <w:marLeft w:val="0"/>
                      <w:marRight w:val="0"/>
                      <w:marTop w:val="0"/>
                      <w:marBottom w:val="0"/>
                      <w:divBdr>
                        <w:top w:val="none" w:sz="0" w:space="0" w:color="auto"/>
                        <w:left w:val="none" w:sz="0" w:space="0" w:color="auto"/>
                        <w:bottom w:val="none" w:sz="0" w:space="0" w:color="auto"/>
                        <w:right w:val="none" w:sz="0" w:space="0" w:color="auto"/>
                      </w:divBdr>
                      <w:divsChild>
                        <w:div w:id="909343972">
                          <w:marLeft w:val="0"/>
                          <w:marRight w:val="0"/>
                          <w:marTop w:val="0"/>
                          <w:marBottom w:val="0"/>
                          <w:divBdr>
                            <w:top w:val="none" w:sz="0" w:space="0" w:color="auto"/>
                            <w:left w:val="none" w:sz="0" w:space="0" w:color="auto"/>
                            <w:bottom w:val="none" w:sz="0" w:space="0" w:color="auto"/>
                            <w:right w:val="none" w:sz="0" w:space="0" w:color="auto"/>
                          </w:divBdr>
                          <w:divsChild>
                            <w:div w:id="914587518">
                              <w:marLeft w:val="0"/>
                              <w:marRight w:val="0"/>
                              <w:marTop w:val="0"/>
                              <w:marBottom w:val="0"/>
                              <w:divBdr>
                                <w:top w:val="none" w:sz="0" w:space="0" w:color="auto"/>
                                <w:left w:val="none" w:sz="0" w:space="0" w:color="auto"/>
                                <w:bottom w:val="none" w:sz="0" w:space="0" w:color="auto"/>
                                <w:right w:val="none" w:sz="0" w:space="0" w:color="auto"/>
                              </w:divBdr>
                              <w:divsChild>
                                <w:div w:id="481042272">
                                  <w:marLeft w:val="0"/>
                                  <w:marRight w:val="0"/>
                                  <w:marTop w:val="0"/>
                                  <w:marBottom w:val="0"/>
                                  <w:divBdr>
                                    <w:top w:val="none" w:sz="0" w:space="0" w:color="auto"/>
                                    <w:left w:val="none" w:sz="0" w:space="0" w:color="auto"/>
                                    <w:bottom w:val="none" w:sz="0" w:space="0" w:color="auto"/>
                                    <w:right w:val="none" w:sz="0" w:space="0" w:color="auto"/>
                                  </w:divBdr>
                                  <w:divsChild>
                                    <w:div w:id="53708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0683193">
      <w:bodyDiv w:val="1"/>
      <w:marLeft w:val="0"/>
      <w:marRight w:val="0"/>
      <w:marTop w:val="0"/>
      <w:marBottom w:val="0"/>
      <w:divBdr>
        <w:top w:val="none" w:sz="0" w:space="0" w:color="auto"/>
        <w:left w:val="none" w:sz="0" w:space="0" w:color="auto"/>
        <w:bottom w:val="none" w:sz="0" w:space="0" w:color="auto"/>
        <w:right w:val="none" w:sz="0" w:space="0" w:color="auto"/>
      </w:divBdr>
      <w:divsChild>
        <w:div w:id="1785036500">
          <w:marLeft w:val="576"/>
          <w:marRight w:val="0"/>
          <w:marTop w:val="120"/>
          <w:marBottom w:val="0"/>
          <w:divBdr>
            <w:top w:val="none" w:sz="0" w:space="0" w:color="auto"/>
            <w:left w:val="none" w:sz="0" w:space="0" w:color="auto"/>
            <w:bottom w:val="none" w:sz="0" w:space="0" w:color="auto"/>
            <w:right w:val="none" w:sz="0" w:space="0" w:color="auto"/>
          </w:divBdr>
        </w:div>
        <w:div w:id="1098863988">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ductsafety.gov.au/content/index.phtml/itemId/973551" TargetMode="External"/><Relationship Id="rId13" Type="http://schemas.openxmlformats.org/officeDocument/2006/relationships/hyperlink" Target="http://www.productsafety.gov.au/content/index.phtml/itemId/971646" TargetMode="External"/><Relationship Id="rId18" Type="http://schemas.openxmlformats.org/officeDocument/2006/relationships/hyperlink" Target="http://www.productsafety.gov.au/content/index.phtml/itemId/975008" TargetMode="External"/><Relationship Id="rId26" Type="http://schemas.openxmlformats.org/officeDocument/2006/relationships/hyperlink" Target="http://www.productsafety.gov.au/content/index.phtml/itemId/973482" TargetMode="External"/><Relationship Id="rId3" Type="http://schemas.openxmlformats.org/officeDocument/2006/relationships/settings" Target="settings.xml"/><Relationship Id="rId21" Type="http://schemas.openxmlformats.org/officeDocument/2006/relationships/hyperlink" Target="http://www.productsafety.gov.au/content/index.phtml/itemId/973519" TargetMode="External"/><Relationship Id="rId34" Type="http://schemas.openxmlformats.org/officeDocument/2006/relationships/header" Target="header1.xml"/><Relationship Id="rId7" Type="http://schemas.openxmlformats.org/officeDocument/2006/relationships/hyperlink" Target="http://www.productsafety.gov.au/content/index.phtml/itemId/970773" TargetMode="External"/><Relationship Id="rId12" Type="http://schemas.openxmlformats.org/officeDocument/2006/relationships/hyperlink" Target="http://www.productsafety.gov.au/content/index.phtml/itemId/974240" TargetMode="External"/><Relationship Id="rId17" Type="http://schemas.openxmlformats.org/officeDocument/2006/relationships/hyperlink" Target="http://www.productsafety.gov.au/content/index.phtml/itemId/973975" TargetMode="External"/><Relationship Id="rId25" Type="http://schemas.openxmlformats.org/officeDocument/2006/relationships/hyperlink" Target="http://www.productsafety.gov.au/content/index.phtml/itemId/974064" TargetMode="External"/><Relationship Id="rId33" Type="http://schemas.openxmlformats.org/officeDocument/2006/relationships/hyperlink" Target="hot_water.pdf" TargetMode="External"/><Relationship Id="rId2" Type="http://schemas.openxmlformats.org/officeDocument/2006/relationships/styles" Target="styles.xml"/><Relationship Id="rId16" Type="http://schemas.openxmlformats.org/officeDocument/2006/relationships/hyperlink" Target="http://www.productsafety.gov.au/content/index.phtml/itemId/974818" TargetMode="External"/><Relationship Id="rId20" Type="http://schemas.openxmlformats.org/officeDocument/2006/relationships/hyperlink" Target="http://www.productsafety.gov.au/content/index.phtml/itemId/975196" TargetMode="External"/><Relationship Id="rId29" Type="http://schemas.openxmlformats.org/officeDocument/2006/relationships/hyperlink" Target="http://www.watersafety.nt.gov.au/fenc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ductsafety.gov.au/content/index.phtml/itemId/974042" TargetMode="External"/><Relationship Id="rId24" Type="http://schemas.openxmlformats.org/officeDocument/2006/relationships/hyperlink" Target="http://www.productsafety.gov.au/content/index.phtml/itemId/981392" TargetMode="External"/><Relationship Id="rId32" Type="http://schemas.openxmlformats.org/officeDocument/2006/relationships/hyperlink" Target="http://www.changeyourbattery.com.au/local-fire-authority.html" TargetMode="External"/><Relationship Id="rId5" Type="http://schemas.openxmlformats.org/officeDocument/2006/relationships/footnotes" Target="footnotes.xml"/><Relationship Id="rId15" Type="http://schemas.openxmlformats.org/officeDocument/2006/relationships/hyperlink" Target="http://www.productsafety.gov.au/content/index.phtml/itemId/981424" TargetMode="External"/><Relationship Id="rId23" Type="http://schemas.openxmlformats.org/officeDocument/2006/relationships/hyperlink" Target="http://www.productsafety.gov.au/content/index.phtml/itemId/973508" TargetMode="External"/><Relationship Id="rId28" Type="http://schemas.openxmlformats.org/officeDocument/2006/relationships/hyperlink" Target="http://www.rta.nsw.gov.au/roadsafety/children/childrestraints/childrestraintlaws_faqs.html" TargetMode="External"/><Relationship Id="rId36" Type="http://schemas.openxmlformats.org/officeDocument/2006/relationships/theme" Target="theme/theme1.xml"/><Relationship Id="rId10" Type="http://schemas.openxmlformats.org/officeDocument/2006/relationships/hyperlink" Target="http://www.productsafety.gov.au/content/index.phtml/itemId/973760" TargetMode="External"/><Relationship Id="rId19" Type="http://schemas.openxmlformats.org/officeDocument/2006/relationships/hyperlink" Target="http://www.productsafety.gov.au/content/index.phtml/itemId/975279" TargetMode="External"/><Relationship Id="rId31" Type="http://schemas.openxmlformats.org/officeDocument/2006/relationships/hyperlink" Target="http://www.changeyourbattery.com.au/local-fire-authority.html" TargetMode="External"/><Relationship Id="rId4" Type="http://schemas.openxmlformats.org/officeDocument/2006/relationships/webSettings" Target="webSettings.xml"/><Relationship Id="rId9" Type="http://schemas.openxmlformats.org/officeDocument/2006/relationships/hyperlink" Target="http://www.productsafety.gov.au/content/index.phtml/itemId/971564" TargetMode="External"/><Relationship Id="rId14" Type="http://schemas.openxmlformats.org/officeDocument/2006/relationships/hyperlink" Target="http://www.productsafety.gov.au/content/index.phtml/itemId/974624" TargetMode="External"/><Relationship Id="rId22" Type="http://schemas.openxmlformats.org/officeDocument/2006/relationships/hyperlink" Target="http://www.productsafety.gov.au/content/index.phtml/itemId/974860" TargetMode="External"/><Relationship Id="rId27" Type="http://schemas.openxmlformats.org/officeDocument/2006/relationships/hyperlink" Target="http://www.productsafety.gov.au/content/index.phtml/itemId/981719" TargetMode="External"/><Relationship Id="rId30" Type="http://schemas.openxmlformats.org/officeDocument/2006/relationships/hyperlink" Target="http://www.watersafety.nt.gov.au/__data/assets/pdf_file/0020/4637/Swimming_Pool_Safety_Act_2004.pdf"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penny.mcintyre</dc:creator>
  <cp:keywords/>
  <dc:description/>
  <cp:lastModifiedBy>penny.mcintyre</cp:lastModifiedBy>
  <cp:revision>7</cp:revision>
  <dcterms:created xsi:type="dcterms:W3CDTF">2011-03-10T01:03:00Z</dcterms:created>
  <dcterms:modified xsi:type="dcterms:W3CDTF">2011-03-10T02:10:00Z</dcterms:modified>
</cp:coreProperties>
</file>